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25" w:rsidRPr="00B25825" w:rsidRDefault="00B25825" w:rsidP="00B25825">
      <w:pPr>
        <w:jc w:val="center"/>
        <w:rPr>
          <w:sz w:val="28"/>
        </w:rPr>
      </w:pPr>
      <w:r w:rsidRPr="00B25825">
        <w:rPr>
          <w:sz w:val="28"/>
        </w:rPr>
        <w:t>Réunion de travail</w:t>
      </w:r>
    </w:p>
    <w:p w:rsidR="00B25825" w:rsidRPr="00B25825" w:rsidRDefault="00B25825" w:rsidP="00B25825">
      <w:pPr>
        <w:jc w:val="center"/>
        <w:rPr>
          <w:sz w:val="28"/>
        </w:rPr>
      </w:pPr>
    </w:p>
    <w:p w:rsidR="00B25825" w:rsidRPr="00B25825" w:rsidRDefault="00B25825" w:rsidP="00B25825">
      <w:pPr>
        <w:jc w:val="center"/>
        <w:rPr>
          <w:b/>
          <w:i/>
          <w:sz w:val="32"/>
        </w:rPr>
      </w:pPr>
      <w:r w:rsidRPr="00B25825">
        <w:rPr>
          <w:b/>
          <w:i/>
          <w:sz w:val="32"/>
        </w:rPr>
        <w:t>Le Bureau des longitudes et l’océan</w:t>
      </w:r>
    </w:p>
    <w:p w:rsidR="00B25825" w:rsidRPr="00B25825" w:rsidRDefault="00B25825" w:rsidP="00B25825">
      <w:pPr>
        <w:jc w:val="center"/>
        <w:rPr>
          <w:sz w:val="28"/>
        </w:rPr>
      </w:pPr>
    </w:p>
    <w:p w:rsidR="00B25825" w:rsidRPr="00B25825" w:rsidRDefault="00B25825" w:rsidP="00B25825">
      <w:pPr>
        <w:jc w:val="center"/>
        <w:rPr>
          <w:sz w:val="28"/>
        </w:rPr>
      </w:pPr>
      <w:r>
        <w:rPr>
          <w:sz w:val="28"/>
        </w:rPr>
        <w:t>Secrétariat</w:t>
      </w:r>
      <w:r w:rsidRPr="00B25825">
        <w:rPr>
          <w:sz w:val="28"/>
        </w:rPr>
        <w:t xml:space="preserve"> du </w:t>
      </w:r>
      <w:proofErr w:type="spellStart"/>
      <w:r w:rsidRPr="00B25825">
        <w:rPr>
          <w:sz w:val="28"/>
        </w:rPr>
        <w:t>Bdl</w:t>
      </w:r>
      <w:proofErr w:type="spellEnd"/>
      <w:r>
        <w:rPr>
          <w:sz w:val="28"/>
        </w:rPr>
        <w:t xml:space="preserve">, </w:t>
      </w:r>
      <w:r w:rsidRPr="00B25825">
        <w:rPr>
          <w:sz w:val="28"/>
        </w:rPr>
        <w:t>3 octobre 2018 à 10h</w:t>
      </w:r>
    </w:p>
    <w:p w:rsidR="00B25825" w:rsidRPr="00B25825" w:rsidRDefault="00B25825" w:rsidP="00B25825">
      <w:pPr>
        <w:jc w:val="center"/>
        <w:rPr>
          <w:sz w:val="28"/>
        </w:rPr>
      </w:pPr>
    </w:p>
    <w:p w:rsidR="00B25825" w:rsidRPr="00B25825" w:rsidRDefault="00235C5C" w:rsidP="00B25825">
      <w:pPr>
        <w:jc w:val="center"/>
        <w:rPr>
          <w:b/>
          <w:sz w:val="28"/>
        </w:rPr>
      </w:pPr>
      <w:r>
        <w:rPr>
          <w:b/>
          <w:sz w:val="28"/>
        </w:rPr>
        <w:t>Relevé de décisions</w:t>
      </w:r>
    </w:p>
    <w:p w:rsidR="00B25825" w:rsidRPr="00B25825" w:rsidRDefault="00B25825" w:rsidP="00B25825">
      <w:pPr>
        <w:jc w:val="center"/>
        <w:rPr>
          <w:sz w:val="28"/>
        </w:rPr>
      </w:pPr>
    </w:p>
    <w:p w:rsidR="00E84ED0" w:rsidRPr="00F12F85" w:rsidRDefault="00E84ED0" w:rsidP="00B25825">
      <w:pPr>
        <w:pStyle w:val="Paragraphedeliste"/>
        <w:numPr>
          <w:ilvl w:val="0"/>
          <w:numId w:val="1"/>
        </w:numPr>
        <w:rPr>
          <w:b/>
        </w:rPr>
      </w:pPr>
      <w:r w:rsidRPr="00F12F85">
        <w:rPr>
          <w:b/>
        </w:rPr>
        <w:t xml:space="preserve">Rapport « Les activités françaises en océanographie » </w:t>
      </w:r>
    </w:p>
    <w:p w:rsidR="00235C5C" w:rsidRDefault="00235C5C" w:rsidP="00235C5C"/>
    <w:p w:rsidR="00235C5C" w:rsidRDefault="00235C5C" w:rsidP="00235C5C">
      <w:r>
        <w:t xml:space="preserve">Divers compléments </w:t>
      </w:r>
      <w:proofErr w:type="spellStart"/>
      <w:proofErr w:type="gramStart"/>
      <w:r>
        <w:t>on</w:t>
      </w:r>
      <w:proofErr w:type="spellEnd"/>
      <w:proofErr w:type="gramEnd"/>
      <w:r>
        <w:t xml:space="preserve"> été fait en réunion. Les versions mises à jour des diverses parties sont téléchargeables :</w:t>
      </w:r>
    </w:p>
    <w:p w:rsidR="00235C5C" w:rsidRDefault="00235C5C" w:rsidP="00235C5C"/>
    <w:p w:rsidR="00EC59D7" w:rsidRDefault="00EC59D7" w:rsidP="00235C5C">
      <w:hyperlink r:id="rId5" w:history="1">
        <w:r w:rsidRPr="00693133">
          <w:rPr>
            <w:rStyle w:val="Lienhypertexte"/>
          </w:rPr>
          <w:t>https://site.bdlg.fr/groupe-de-travail-oceanographie</w:t>
        </w:r>
      </w:hyperlink>
    </w:p>
    <w:p w:rsidR="00EC59D7" w:rsidRDefault="00EC59D7" w:rsidP="00235C5C">
      <w:bookmarkStart w:id="0" w:name="_GoBack"/>
      <w:bookmarkEnd w:id="0"/>
    </w:p>
    <w:p w:rsidR="00235C5C" w:rsidRDefault="00A54BFE" w:rsidP="00235C5C">
      <w:r>
        <w:t>Quelques personnes envisagées pour la relecture</w:t>
      </w:r>
      <w:r w:rsidR="00F12F85">
        <w:t xml:space="preserve"> (en plus du groupe </w:t>
      </w:r>
      <w:proofErr w:type="spellStart"/>
      <w:r w:rsidR="00F12F85">
        <w:t>Bdl</w:t>
      </w:r>
      <w:proofErr w:type="spellEnd"/>
      <w:r w:rsidR="00F12F85">
        <w:t xml:space="preserve">) : Bernard Commère, Pierre-Yves Le </w:t>
      </w:r>
      <w:proofErr w:type="spellStart"/>
      <w:r w:rsidR="00F12F85">
        <w:t>Traon</w:t>
      </w:r>
      <w:proofErr w:type="spellEnd"/>
      <w:r w:rsidR="00F12F85">
        <w:t>, Patrick Vincent, Bruno Voiturier</w:t>
      </w:r>
    </w:p>
    <w:p w:rsidR="00F12F85" w:rsidRDefault="00F12F85" w:rsidP="00235C5C"/>
    <w:p w:rsidR="00B25825" w:rsidRPr="00A14404" w:rsidRDefault="00E84ED0" w:rsidP="00B25825">
      <w:pPr>
        <w:pStyle w:val="Paragraphedeliste"/>
        <w:numPr>
          <w:ilvl w:val="0"/>
          <w:numId w:val="1"/>
        </w:numPr>
        <w:rPr>
          <w:b/>
        </w:rPr>
      </w:pPr>
      <w:r w:rsidRPr="00A14404">
        <w:rPr>
          <w:b/>
        </w:rPr>
        <w:t>Rapport</w:t>
      </w:r>
      <w:r w:rsidR="00524B03" w:rsidRPr="00A14404">
        <w:rPr>
          <w:b/>
        </w:rPr>
        <w:t xml:space="preserve"> « Les nouveaux systèmes d’observation dans le domaine maritime » </w:t>
      </w:r>
    </w:p>
    <w:p w:rsidR="00A14404" w:rsidRDefault="00A14404" w:rsidP="00A14404"/>
    <w:p w:rsidR="00A14404" w:rsidRDefault="00A14404" w:rsidP="00A14404">
      <w:r>
        <w:t>Table de contenu mise à jour</w:t>
      </w:r>
    </w:p>
    <w:p w:rsidR="00A14404" w:rsidRDefault="00A14404" w:rsidP="00A14404"/>
    <w:p w:rsidR="00B25825" w:rsidRPr="00431F8A" w:rsidRDefault="00B25825" w:rsidP="00B25825">
      <w:pPr>
        <w:pStyle w:val="Paragraphedeliste"/>
        <w:numPr>
          <w:ilvl w:val="0"/>
          <w:numId w:val="1"/>
        </w:numPr>
        <w:rPr>
          <w:b/>
        </w:rPr>
      </w:pPr>
      <w:r w:rsidRPr="00431F8A">
        <w:rPr>
          <w:b/>
        </w:rPr>
        <w:t>Suites de la réunion UNESCO</w:t>
      </w:r>
      <w:r w:rsidR="00732F1E" w:rsidRPr="00431F8A">
        <w:rPr>
          <w:b/>
        </w:rPr>
        <w:t xml:space="preserve"> du 10-11 sept 2018 </w:t>
      </w:r>
    </w:p>
    <w:p w:rsidR="00A14404" w:rsidRDefault="00A14404" w:rsidP="00A14404"/>
    <w:p w:rsidR="00A14404" w:rsidRDefault="00A14404" w:rsidP="00A14404">
      <w:r>
        <w:t>A préciser</w:t>
      </w:r>
    </w:p>
    <w:p w:rsidR="00A14404" w:rsidRDefault="00A14404" w:rsidP="00A14404"/>
    <w:p w:rsidR="00A14404" w:rsidRDefault="00A14404" w:rsidP="00A14404">
      <w:r>
        <w:t>Pour info CR en annexe</w:t>
      </w:r>
    </w:p>
    <w:p w:rsidR="00A14404" w:rsidRDefault="00A14404" w:rsidP="00A14404"/>
    <w:p w:rsidR="00663FEE" w:rsidRPr="00431F8A" w:rsidRDefault="00B25825" w:rsidP="00B25825">
      <w:pPr>
        <w:pStyle w:val="Paragraphedeliste"/>
        <w:numPr>
          <w:ilvl w:val="0"/>
          <w:numId w:val="1"/>
        </w:numPr>
        <w:rPr>
          <w:b/>
        </w:rPr>
      </w:pPr>
      <w:r w:rsidRPr="00431F8A">
        <w:rPr>
          <w:b/>
        </w:rPr>
        <w:t>Relations avec la Plateforme Océan-Climat</w:t>
      </w:r>
    </w:p>
    <w:p w:rsidR="00431F8A" w:rsidRDefault="00431F8A" w:rsidP="00431F8A"/>
    <w:p w:rsidR="00431F8A" w:rsidRDefault="00431F8A" w:rsidP="00431F8A">
      <w:r>
        <w:t xml:space="preserve">L’Académie de marine a choisi de ne pas rejoindre la POC. En l’occurrence le </w:t>
      </w:r>
      <w:proofErr w:type="spellStart"/>
      <w:r>
        <w:t>Bdl</w:t>
      </w:r>
      <w:proofErr w:type="spellEnd"/>
      <w:r>
        <w:t xml:space="preserve"> suit ce choix. Néanmoins il est convenu de l’intérêt de suivre les activités de son Conseil scientifique, via le SHOM.</w:t>
      </w:r>
    </w:p>
    <w:p w:rsidR="00431F8A" w:rsidRDefault="00431F8A" w:rsidP="00431F8A"/>
    <w:p w:rsidR="00663FEE" w:rsidRPr="00431F8A" w:rsidRDefault="00663FEE" w:rsidP="00B25825">
      <w:pPr>
        <w:pStyle w:val="Paragraphedeliste"/>
        <w:numPr>
          <w:ilvl w:val="0"/>
          <w:numId w:val="1"/>
        </w:numPr>
        <w:rPr>
          <w:b/>
        </w:rPr>
      </w:pPr>
      <w:r w:rsidRPr="00431F8A">
        <w:rPr>
          <w:b/>
        </w:rPr>
        <w:t>Organisation de journées</w:t>
      </w:r>
    </w:p>
    <w:p w:rsidR="00431F8A" w:rsidRDefault="00431F8A" w:rsidP="00431F8A"/>
    <w:p w:rsidR="00431F8A" w:rsidRDefault="00431F8A" w:rsidP="00431F8A">
      <w:r>
        <w:t>Pour mémoire</w:t>
      </w:r>
    </w:p>
    <w:p w:rsidR="00431F8A" w:rsidRDefault="00431F8A" w:rsidP="00431F8A"/>
    <w:p w:rsidR="00663FEE" w:rsidRDefault="00663FEE" w:rsidP="00663FEE">
      <w:pPr>
        <w:pStyle w:val="Paragraphedeliste"/>
        <w:numPr>
          <w:ilvl w:val="1"/>
          <w:numId w:val="1"/>
        </w:numPr>
      </w:pPr>
      <w:r>
        <w:t xml:space="preserve">Niveau des mers </w:t>
      </w:r>
    </w:p>
    <w:p w:rsidR="00E84ED0" w:rsidRDefault="00663FEE" w:rsidP="00663FEE">
      <w:pPr>
        <w:pStyle w:val="Paragraphedeliste"/>
        <w:numPr>
          <w:ilvl w:val="1"/>
          <w:numId w:val="1"/>
        </w:numPr>
      </w:pPr>
      <w:r>
        <w:t>Activités fond de mer</w:t>
      </w:r>
    </w:p>
    <w:p w:rsidR="00E84ED0" w:rsidRDefault="00E84ED0" w:rsidP="00E84ED0"/>
    <w:p w:rsidR="00E84ED0" w:rsidRDefault="00E84ED0" w:rsidP="00E84ED0"/>
    <w:p w:rsidR="00E84ED0" w:rsidRDefault="00E84ED0" w:rsidP="00E84ED0"/>
    <w:p w:rsidR="00E84ED0" w:rsidRDefault="00E84ED0" w:rsidP="00E84ED0"/>
    <w:p w:rsidR="00F442AD" w:rsidRPr="00152CA6" w:rsidRDefault="00E84ED0" w:rsidP="00F442AD">
      <w:pPr>
        <w:rPr>
          <w:sz w:val="36"/>
        </w:rPr>
      </w:pPr>
      <w:r>
        <w:br w:type="page"/>
      </w:r>
      <w:r w:rsidR="00F442AD" w:rsidRPr="00152CA6">
        <w:rPr>
          <w:sz w:val="36"/>
        </w:rPr>
        <w:lastRenderedPageBreak/>
        <w:t xml:space="preserve">Annexe </w:t>
      </w:r>
    </w:p>
    <w:p w:rsidR="00F442AD" w:rsidRDefault="00F442AD" w:rsidP="00F442AD"/>
    <w:p w:rsidR="00F442AD" w:rsidRPr="00152CA6" w:rsidRDefault="00F442AD" w:rsidP="00F442AD">
      <w:pPr>
        <w:rPr>
          <w:b/>
          <w:sz w:val="32"/>
        </w:rPr>
      </w:pPr>
      <w:r w:rsidRPr="00152CA6">
        <w:rPr>
          <w:b/>
          <w:sz w:val="32"/>
        </w:rPr>
        <w:t>Les nouveaux systèmes d’observation dans le domaine maritime</w:t>
      </w:r>
    </w:p>
    <w:p w:rsidR="00F442AD" w:rsidRDefault="00F442AD" w:rsidP="00F442AD"/>
    <w:p w:rsidR="00F442AD" w:rsidRDefault="00F442AD" w:rsidP="00F442AD"/>
    <w:p w:rsidR="00F442AD" w:rsidRDefault="00F442AD" w:rsidP="00F442AD">
      <w:pPr>
        <w:pStyle w:val="Paragraphedeliste"/>
        <w:numPr>
          <w:ilvl w:val="0"/>
          <w:numId w:val="9"/>
        </w:numPr>
      </w:pPr>
      <w:r>
        <w:t>Mise à jour de l’ouvrage sur les observatoires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Nouveaux satellites altimétriques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Trajectographie GNSS en surface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Réflectométrie GNSS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Observatoires fond de mer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 xml:space="preserve">Gravimétrie </w:t>
      </w:r>
      <w:proofErr w:type="gramStart"/>
      <w:r>
        <w:t>marine  à</w:t>
      </w:r>
      <w:proofErr w:type="gramEnd"/>
      <w:r>
        <w:t xml:space="preserve"> atomes froids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Océanographie opérationnelle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Pôles de données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proofErr w:type="spellStart"/>
      <w:r>
        <w:t>Big</w:t>
      </w:r>
      <w:proofErr w:type="spellEnd"/>
      <w:r>
        <w:t xml:space="preserve"> data</w:t>
      </w:r>
    </w:p>
    <w:p w:rsidR="00F442AD" w:rsidRDefault="00F442AD" w:rsidP="00F442AD">
      <w:pPr>
        <w:pStyle w:val="Paragraphedeliste"/>
        <w:numPr>
          <w:ilvl w:val="0"/>
          <w:numId w:val="9"/>
        </w:numPr>
      </w:pPr>
      <w:r>
        <w:t>…..</w:t>
      </w:r>
    </w:p>
    <w:p w:rsidR="004122FD" w:rsidRDefault="004122FD" w:rsidP="00F442AD"/>
    <w:p w:rsidR="004E084C" w:rsidRDefault="004E084C" w:rsidP="00F442AD"/>
    <w:sectPr w:rsidR="004E084C" w:rsidSect="004122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1F"/>
    <w:multiLevelType w:val="hybridMultilevel"/>
    <w:tmpl w:val="F8A67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A70"/>
    <w:multiLevelType w:val="hybridMultilevel"/>
    <w:tmpl w:val="55643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5AB"/>
    <w:multiLevelType w:val="hybridMultilevel"/>
    <w:tmpl w:val="52889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DF9"/>
    <w:multiLevelType w:val="hybridMultilevel"/>
    <w:tmpl w:val="039A8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1AD"/>
    <w:multiLevelType w:val="hybridMultilevel"/>
    <w:tmpl w:val="1004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7E15"/>
    <w:multiLevelType w:val="hybridMultilevel"/>
    <w:tmpl w:val="8E549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684"/>
    <w:multiLevelType w:val="hybridMultilevel"/>
    <w:tmpl w:val="77B02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902"/>
    <w:multiLevelType w:val="hybridMultilevel"/>
    <w:tmpl w:val="47EEC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12FC"/>
    <w:multiLevelType w:val="hybridMultilevel"/>
    <w:tmpl w:val="C7C8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D77"/>
    <w:multiLevelType w:val="hybridMultilevel"/>
    <w:tmpl w:val="3B709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069A2"/>
    <w:multiLevelType w:val="hybridMultilevel"/>
    <w:tmpl w:val="6406C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13CC"/>
    <w:multiLevelType w:val="hybridMultilevel"/>
    <w:tmpl w:val="5690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25"/>
    <w:rsid w:val="00044A2C"/>
    <w:rsid w:val="00152CA6"/>
    <w:rsid w:val="00235C5C"/>
    <w:rsid w:val="002E2E2D"/>
    <w:rsid w:val="00337671"/>
    <w:rsid w:val="004122FD"/>
    <w:rsid w:val="00431F8A"/>
    <w:rsid w:val="004E084C"/>
    <w:rsid w:val="00524B03"/>
    <w:rsid w:val="00526B52"/>
    <w:rsid w:val="00663FEE"/>
    <w:rsid w:val="00710F7A"/>
    <w:rsid w:val="00732F1E"/>
    <w:rsid w:val="00985A77"/>
    <w:rsid w:val="00A14404"/>
    <w:rsid w:val="00A54BFE"/>
    <w:rsid w:val="00B25825"/>
    <w:rsid w:val="00E84ED0"/>
    <w:rsid w:val="00EC59D7"/>
    <w:rsid w:val="00F12F85"/>
    <w:rsid w:val="00F44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F17"/>
  <w15:docId w15:val="{AFA53728-C0D5-F843-AC96-2E8C3786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825"/>
    <w:pPr>
      <w:ind w:left="720"/>
      <w:contextualSpacing/>
    </w:pPr>
  </w:style>
  <w:style w:type="paragraph" w:customStyle="1" w:styleId="text-justify">
    <w:name w:val="text-justify"/>
    <w:basedOn w:val="Normal"/>
    <w:rsid w:val="00E84ED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84ED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E84ED0"/>
    <w:rPr>
      <w:i/>
      <w:iCs/>
    </w:rPr>
  </w:style>
  <w:style w:type="paragraph" w:customStyle="1" w:styleId="bodytext">
    <w:name w:val="bodytext"/>
    <w:basedOn w:val="Normal"/>
    <w:rsid w:val="00E84ED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paragraph" w:customStyle="1" w:styleId="msonormal0">
    <w:name w:val="msonormal"/>
    <w:basedOn w:val="Normal"/>
    <w:rsid w:val="004E0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C59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dlg.fr/groupe-de-travail-oceanograph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Boucher</dc:creator>
  <cp:keywords/>
  <cp:lastModifiedBy>BDL BDL</cp:lastModifiedBy>
  <cp:revision>10</cp:revision>
  <dcterms:created xsi:type="dcterms:W3CDTF">2018-10-26T09:57:00Z</dcterms:created>
  <dcterms:modified xsi:type="dcterms:W3CDTF">2018-10-31T09:46:00Z</dcterms:modified>
</cp:coreProperties>
</file>